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1E" w:rsidRDefault="00561C1E" w:rsidP="00561C1E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561C1E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Психологические особенности детей 6-7 лет</w:t>
      </w:r>
    </w:p>
    <w:p w:rsidR="00561C1E" w:rsidRPr="00561C1E" w:rsidRDefault="00561C1E" w:rsidP="00561C1E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p w:rsidR="00561C1E" w:rsidRDefault="00561C1E" w:rsidP="00561C1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</w:pPr>
      <w:r w:rsidRPr="00561C1E"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Развитие психических процессов</w:t>
      </w:r>
    </w:p>
    <w:p w:rsidR="00561C1E" w:rsidRP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color w:val="0070C0"/>
          <w:sz w:val="28"/>
          <w:szCs w:val="28"/>
        </w:rPr>
      </w:pPr>
      <w:r w:rsidRPr="00561C1E">
        <w:rPr>
          <w:rFonts w:asciiTheme="majorHAnsi" w:hAnsiTheme="majorHAnsi" w:cstheme="minorHAnsi"/>
          <w:b/>
          <w:color w:val="0070C0"/>
          <w:sz w:val="28"/>
          <w:szCs w:val="28"/>
        </w:rPr>
        <w:t>Внимание и память</w:t>
      </w:r>
      <w:r w:rsidRPr="00561C1E">
        <w:rPr>
          <w:rFonts w:asciiTheme="majorHAnsi" w:hAnsiTheme="majorHAnsi" w:cstheme="minorHAnsi"/>
          <w:b/>
          <w:color w:val="0070C0"/>
          <w:sz w:val="28"/>
          <w:szCs w:val="28"/>
        </w:rPr>
        <w:t xml:space="preserve">      </w:t>
      </w:r>
    </w:p>
    <w:p w:rsid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Pr="00561C1E">
        <w:rPr>
          <w:rFonts w:asciiTheme="majorHAnsi" w:hAnsiTheme="majorHAnsi" w:cstheme="minorHAnsi"/>
          <w:b/>
          <w:sz w:val="28"/>
          <w:szCs w:val="28"/>
        </w:rPr>
        <w:t>К концу дошкольного возраста существенно увеличивается устойчивость внимания (20-25 минут), что приводит к меньшей отвлекаемости детей.  В 6-7 лет происходит процесс перехода от непроизвольной к произвольной памяти. Теперь ребёнок может запоминать необходимую информацию по желанию.</w:t>
      </w:r>
    </w:p>
    <w:p w:rsid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color w:val="0070C0"/>
          <w:sz w:val="28"/>
          <w:szCs w:val="28"/>
        </w:rPr>
      </w:pPr>
      <w:r w:rsidRPr="00561C1E">
        <w:rPr>
          <w:rFonts w:asciiTheme="majorHAnsi" w:hAnsiTheme="majorHAnsi" w:cstheme="minorHAnsi"/>
          <w:b/>
          <w:color w:val="0070C0"/>
          <w:sz w:val="28"/>
          <w:szCs w:val="28"/>
        </w:rPr>
        <w:t>Мышление</w:t>
      </w:r>
    </w:p>
    <w:p w:rsid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 xml:space="preserve">Основным остается наглядно - образное мышление – представление о предмете в образе словесного описания, но постепенно формируется и словесно-логическое мышление, то есть умение оперировать словами и понимать логику рассуждений. Ребенок 6-7 лет способен устанавливать причинно-следственные связи («что было» - «что </w:t>
      </w:r>
      <w:proofErr w:type="gramStart"/>
      <w:r w:rsidRPr="00561C1E">
        <w:rPr>
          <w:rFonts w:asciiTheme="majorHAnsi" w:hAnsiTheme="majorHAnsi" w:cstheme="minorHAnsi"/>
          <w:b/>
          <w:sz w:val="28"/>
          <w:szCs w:val="28"/>
        </w:rPr>
        <w:t>стало»-</w:t>
      </w:r>
      <w:proofErr w:type="gramEnd"/>
      <w:r w:rsidRPr="00561C1E">
        <w:rPr>
          <w:rFonts w:asciiTheme="majorHAnsi" w:hAnsiTheme="majorHAnsi" w:cstheme="minorHAnsi"/>
          <w:b/>
          <w:sz w:val="28"/>
          <w:szCs w:val="28"/>
        </w:rPr>
        <w:t xml:space="preserve"> «что будет потом»).</w:t>
      </w:r>
    </w:p>
    <w:p w:rsid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color w:val="0070C0"/>
          <w:sz w:val="28"/>
          <w:szCs w:val="28"/>
        </w:rPr>
      </w:pPr>
      <w:r w:rsidRPr="00561C1E">
        <w:rPr>
          <w:rFonts w:asciiTheme="majorHAnsi" w:hAnsiTheme="majorHAnsi" w:cstheme="minorHAnsi"/>
          <w:b/>
          <w:color w:val="0070C0"/>
          <w:sz w:val="28"/>
          <w:szCs w:val="28"/>
        </w:rPr>
        <w:t>Воображение</w:t>
      </w:r>
    </w:p>
    <w:p w:rsid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>Этот период жизни ребенка характеризуется особенной активностью воображения. Он связан с появлением творческое воображение, способное создавать совершенно новые образы. Это особенно важное время для развития фантазии ребенка.</w:t>
      </w:r>
    </w:p>
    <w:p w:rsidR="00561C1E" w:rsidRPr="00561C1E" w:rsidRDefault="00561C1E" w:rsidP="00561C1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</w:pPr>
      <w:r w:rsidRPr="00561C1E"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Эмоциональное развитие</w:t>
      </w: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 xml:space="preserve">Эмоциональный мир ребенка становится богаче и разнообразнее. От базовых эмоций (страха, радости) он переходит к более сложной гамме чувств: радуется и сердится, восторгается и удивляется, ревнует и грустит. </w:t>
      </w: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 xml:space="preserve">Изменяется и внешнее проявление эмоциональных реакций (взгляды, улыбки, жесты, позы, движения). Кроме того, ребенок осваивает выражение чувств с помощью интонации, мимики, что помогает ему понять переживания другого человека. </w:t>
      </w:r>
    </w:p>
    <w:p w:rsid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>Для детей данного возраста становится характерным более адекватное проявление эмоций, отсутствие сильных аффективных вспышек и конфликтов по незначительным поводам. Этот новый стабильный эмоциональный фон определяет растущая способность детей управлять своими эмоциями.</w:t>
      </w:r>
    </w:p>
    <w:p w:rsid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561C1E" w:rsidRDefault="00561C1E" w:rsidP="00561C1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</w:pPr>
      <w:r w:rsidRPr="00561C1E"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  <w:t>Коммуникативное развитие</w:t>
      </w: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  <w:r w:rsidRPr="00561C1E">
        <w:rPr>
          <w:rFonts w:asciiTheme="majorHAnsi" w:hAnsiTheme="majorHAnsi" w:cstheme="minorHAnsi"/>
          <w:b/>
          <w:sz w:val="28"/>
          <w:szCs w:val="28"/>
        </w:rPr>
        <w:t>Шестой год – время активного построения социальных связей между детьми. У них появляются друзья, с которыми они общаются охотно, и недруги. Девочки и мальчики создают свои отдельные компании, которые часто враждебно или пренебрежительно настроены друг к другу. Просматриваются четкие половые различия в особенностях игры, дети начинают осознавать свои роли в обществе. В 6 лет малыш уже не так привязан к родителям. Он может долго заниматься своими делами, не требует постоянного внимания, как раньше.</w:t>
      </w:r>
    </w:p>
    <w:p w:rsidR="00561C1E" w:rsidRPr="00561C1E" w:rsidRDefault="00561C1E" w:rsidP="00561C1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2"/>
          <w:szCs w:val="32"/>
        </w:rPr>
      </w:pP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561C1E" w:rsidRDefault="00561C1E" w:rsidP="00561C1E">
      <w:pPr>
        <w:widowControl w:val="0"/>
        <w:spacing w:after="120" w:line="276" w:lineRule="auto"/>
        <w:jc w:val="both"/>
        <w:rPr>
          <w:rFonts w:asciiTheme="majorHAnsi" w:hAnsiTheme="majorHAnsi" w:cstheme="minorHAnsi"/>
          <w:b/>
          <w:color w:val="0070C0"/>
          <w:sz w:val="28"/>
          <w:szCs w:val="28"/>
        </w:rPr>
      </w:pPr>
    </w:p>
    <w:p w:rsidR="00561C1E" w:rsidRPr="00561C1E" w:rsidRDefault="00561C1E" w:rsidP="00561C1E">
      <w:pPr>
        <w:widowControl w:val="0"/>
        <w:spacing w:after="120" w:line="276" w:lineRule="auto"/>
        <w:ind w:firstLine="708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561C1E" w:rsidRPr="009820D3" w:rsidRDefault="00561C1E" w:rsidP="00561C1E">
      <w:pPr>
        <w:widowControl w:val="0"/>
        <w:spacing w:after="120" w:line="276" w:lineRule="auto"/>
        <w:jc w:val="both"/>
        <w:rPr>
          <w:rFonts w:ascii="Comic Sans MS" w:hAnsi="Comic Sans MS" w:cstheme="minorHAnsi"/>
          <w:sz w:val="24"/>
          <w:szCs w:val="24"/>
        </w:rPr>
      </w:pPr>
    </w:p>
    <w:p w:rsidR="00561C1E" w:rsidRPr="003D2F9C" w:rsidRDefault="00561C1E" w:rsidP="00561C1E">
      <w:pPr>
        <w:widowControl w:val="0"/>
        <w:spacing w:after="240" w:line="300" w:lineRule="auto"/>
        <w:jc w:val="center"/>
        <w:rPr>
          <w:rFonts w:ascii="Amatic SC" w:hAnsi="Amatic SC" w:cs="Amatic SC"/>
          <w:b/>
          <w:bCs/>
          <w:color w:val="4472C4" w:themeColor="accent5"/>
          <w:sz w:val="56"/>
          <w:szCs w:val="56"/>
        </w:rPr>
      </w:pPr>
    </w:p>
    <w:p w:rsidR="00561C1E" w:rsidRPr="00561C1E" w:rsidRDefault="00561C1E" w:rsidP="00561C1E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6"/>
        </w:rPr>
      </w:pPr>
    </w:p>
    <w:p w:rsidR="001241DD" w:rsidRDefault="001241DD"/>
    <w:sectPr w:rsidR="001241DD" w:rsidSect="00561C1E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matic SC">
    <w:altName w:val="Courier New"/>
    <w:charset w:val="CC"/>
    <w:family w:val="auto"/>
    <w:pitch w:val="variable"/>
    <w:sig w:usb0="00000000" w:usb1="40000002" w:usb2="00000000" w:usb3="00000000" w:csb0="000001B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E9"/>
    <w:rsid w:val="000841E9"/>
    <w:rsid w:val="001241DD"/>
    <w:rsid w:val="005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1CE2-7F8C-47D6-A754-842A9E1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2024-04-03T16:23:00Z</dcterms:created>
  <dcterms:modified xsi:type="dcterms:W3CDTF">2024-04-03T16:30:00Z</dcterms:modified>
</cp:coreProperties>
</file>